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D86B" w14:textId="77777777" w:rsidR="006E5046" w:rsidRPr="006E5046" w:rsidRDefault="006E5046" w:rsidP="006E5046">
      <w:pPr>
        <w:jc w:val="center"/>
        <w:rPr>
          <w:rFonts w:ascii="Arial" w:hAnsi="Arial" w:cs="Arial"/>
          <w:b/>
          <w:sz w:val="32"/>
          <w:szCs w:val="32"/>
        </w:rPr>
      </w:pPr>
      <w:r w:rsidRPr="006E5046">
        <w:rPr>
          <w:rFonts w:ascii="Arial" w:hAnsi="Arial" w:cs="Arial"/>
          <w:b/>
          <w:sz w:val="32"/>
          <w:szCs w:val="32"/>
        </w:rPr>
        <w:t>STUDY AIDS ON HEARINGS</w:t>
      </w:r>
    </w:p>
    <w:p w14:paraId="71FB5131" w14:textId="77777777" w:rsidR="006E5046" w:rsidRDefault="006E5046">
      <w:pPr>
        <w:rPr>
          <w:b/>
          <w:sz w:val="24"/>
        </w:rPr>
      </w:pPr>
    </w:p>
    <w:p w14:paraId="5166BA36" w14:textId="77777777" w:rsidR="000F7C01" w:rsidRDefault="000F7C01" w:rsidP="00A4544A">
      <w:pPr>
        <w:jc w:val="center"/>
        <w:rPr>
          <w:b/>
          <w:sz w:val="28"/>
        </w:rPr>
      </w:pPr>
      <w:r>
        <w:rPr>
          <w:b/>
          <w:sz w:val="28"/>
        </w:rPr>
        <w:t>NY</w:t>
      </w:r>
      <w:r w:rsidR="006E5046">
        <w:rPr>
          <w:b/>
          <w:sz w:val="28"/>
        </w:rPr>
        <w:t xml:space="preserve"> CIVIL PRACTICE LAW AND RULES, </w:t>
      </w:r>
      <w:r>
        <w:rPr>
          <w:b/>
          <w:sz w:val="28"/>
        </w:rPr>
        <w:t>ARTICLE 75</w:t>
      </w:r>
    </w:p>
    <w:p w14:paraId="6D029BBB" w14:textId="77777777" w:rsidR="000F7C01" w:rsidRDefault="000F7C01">
      <w:pPr>
        <w:rPr>
          <w:b/>
          <w:sz w:val="28"/>
        </w:rPr>
      </w:pPr>
    </w:p>
    <w:p w14:paraId="181D4747" w14:textId="77777777" w:rsidR="000F7C01" w:rsidRDefault="000F7C01">
      <w:pPr>
        <w:rPr>
          <w:sz w:val="22"/>
        </w:rPr>
      </w:pPr>
      <w:r>
        <w:rPr>
          <w:b/>
          <w:sz w:val="22"/>
        </w:rPr>
        <w:t>Section 7506: Hearing</w:t>
      </w:r>
      <w:r>
        <w:rPr>
          <w:sz w:val="22"/>
        </w:rPr>
        <w:t xml:space="preserve"> </w:t>
      </w:r>
    </w:p>
    <w:p w14:paraId="36442976" w14:textId="77777777" w:rsidR="000F7C01" w:rsidRDefault="000F7C01">
      <w:pPr>
        <w:rPr>
          <w:sz w:val="22"/>
        </w:rPr>
      </w:pPr>
    </w:p>
    <w:p w14:paraId="6FF77652" w14:textId="77777777" w:rsidR="000F7C01" w:rsidRDefault="000F7C01">
      <w:pPr>
        <w:rPr>
          <w:sz w:val="22"/>
        </w:rPr>
      </w:pPr>
      <w:r>
        <w:rPr>
          <w:b/>
          <w:sz w:val="22"/>
        </w:rPr>
        <w:t>(a) Oath of arbitrator</w:t>
      </w:r>
      <w:r>
        <w:rPr>
          <w:sz w:val="22"/>
        </w:rPr>
        <w:t>. Before hearing any testimony, an arbitrator shall be sworn to hear and decide the controversy faithfully and fairly by an officer authorized to administrator an oath.</w:t>
      </w:r>
    </w:p>
    <w:p w14:paraId="03831B8F" w14:textId="77777777" w:rsidR="000F7C01" w:rsidRDefault="000F7C01">
      <w:pPr>
        <w:rPr>
          <w:sz w:val="22"/>
        </w:rPr>
      </w:pPr>
    </w:p>
    <w:p w14:paraId="57C4E27D" w14:textId="77777777" w:rsidR="000F7C01" w:rsidRDefault="000F7C01">
      <w:pPr>
        <w:rPr>
          <w:sz w:val="22"/>
        </w:rPr>
      </w:pPr>
      <w:r>
        <w:rPr>
          <w:b/>
          <w:sz w:val="22"/>
        </w:rPr>
        <w:t xml:space="preserve">(b) Time and place.  </w:t>
      </w:r>
      <w:r>
        <w:rPr>
          <w:sz w:val="22"/>
        </w:rPr>
        <w:t>The arbitrator shall appoint a time and place for the hearing and notify the parties in writing personally or by registered or certified mail not less than eight days before the hearing. The arbitrator may adjourn or postpone the hearing. The court, upon application of any party, may direct the arbitrator to proceed promptly with the hearing and determination of the controversy.</w:t>
      </w:r>
    </w:p>
    <w:p w14:paraId="3731AF53" w14:textId="77777777" w:rsidR="000F7C01" w:rsidRDefault="000F7C01">
      <w:pPr>
        <w:rPr>
          <w:sz w:val="22"/>
        </w:rPr>
      </w:pPr>
    </w:p>
    <w:p w14:paraId="081FDBCC" w14:textId="77777777" w:rsidR="000F7C01" w:rsidRDefault="000F7C01">
      <w:pPr>
        <w:rPr>
          <w:sz w:val="22"/>
        </w:rPr>
      </w:pPr>
      <w:r>
        <w:rPr>
          <w:b/>
          <w:sz w:val="22"/>
        </w:rPr>
        <w:t xml:space="preserve">(c) Evidence. </w:t>
      </w:r>
      <w:r>
        <w:rPr>
          <w:sz w:val="22"/>
        </w:rPr>
        <w:t xml:space="preserve"> The parties are entitled to be heard, to present evidence and to cross-examine witnesses. Notwithstanding the failure of a party duly notified to appear, the arbitrator may hear and determine the controversy upon the evidence produced</w:t>
      </w:r>
    </w:p>
    <w:p w14:paraId="493FD004" w14:textId="77777777" w:rsidR="000F7C01" w:rsidRDefault="000F7C01">
      <w:pPr>
        <w:rPr>
          <w:sz w:val="22"/>
        </w:rPr>
      </w:pPr>
    </w:p>
    <w:p w14:paraId="301BF80E" w14:textId="77777777" w:rsidR="000F7C01" w:rsidRDefault="000F7C01">
      <w:pPr>
        <w:rPr>
          <w:sz w:val="22"/>
        </w:rPr>
      </w:pPr>
      <w:r>
        <w:rPr>
          <w:b/>
          <w:sz w:val="22"/>
        </w:rPr>
        <w:t xml:space="preserve">(d) Representation by attorney.  </w:t>
      </w:r>
      <w:r>
        <w:rPr>
          <w:sz w:val="22"/>
        </w:rPr>
        <w:t>A party has the right to be represented by an attorney and may claim such right at any time as to any part of the arbitration or hearings which have not taken place. This right may not be waived. If a party is represented by an attorney, papers to be served on the party shall be served upon his attorney.</w:t>
      </w:r>
    </w:p>
    <w:p w14:paraId="3C07F951" w14:textId="77777777" w:rsidR="000F7C01" w:rsidRDefault="000F7C01">
      <w:pPr>
        <w:rPr>
          <w:sz w:val="22"/>
        </w:rPr>
      </w:pPr>
      <w:r>
        <w:rPr>
          <w:sz w:val="22"/>
        </w:rPr>
        <w:t xml:space="preserve"> </w:t>
      </w:r>
    </w:p>
    <w:p w14:paraId="18F4762A" w14:textId="77777777" w:rsidR="000F7C01" w:rsidRDefault="000F7C01">
      <w:pPr>
        <w:rPr>
          <w:sz w:val="22"/>
        </w:rPr>
      </w:pPr>
      <w:r>
        <w:rPr>
          <w:b/>
          <w:sz w:val="22"/>
        </w:rPr>
        <w:t xml:space="preserve">(e) Determination by majority.  </w:t>
      </w:r>
      <w:r>
        <w:rPr>
          <w:sz w:val="22"/>
        </w:rPr>
        <w:t>The hearing shall be conducted by all the arbitrators, but a majority may determine any question and render an award.</w:t>
      </w:r>
    </w:p>
    <w:p w14:paraId="7565E5A6" w14:textId="77777777" w:rsidR="000F7C01" w:rsidRDefault="000F7C01">
      <w:pPr>
        <w:rPr>
          <w:sz w:val="22"/>
        </w:rPr>
      </w:pPr>
    </w:p>
    <w:p w14:paraId="6127FA94" w14:textId="77777777" w:rsidR="000F7C01" w:rsidRDefault="000F7C01">
      <w:pPr>
        <w:rPr>
          <w:sz w:val="22"/>
        </w:rPr>
      </w:pPr>
      <w:r>
        <w:rPr>
          <w:b/>
          <w:sz w:val="22"/>
        </w:rPr>
        <w:t>(f) Waiver</w:t>
      </w:r>
      <w:r>
        <w:rPr>
          <w:sz w:val="22"/>
        </w:rPr>
        <w:t>. Except as provided in subdivision (d), a requirement of this section may be waived by written consent of the parties and it is waived if the parties continue with the arbitration without objection.</w:t>
      </w:r>
    </w:p>
    <w:p w14:paraId="55C4E18C" w14:textId="77777777" w:rsidR="000F7C01" w:rsidRDefault="000F7C01">
      <w:pPr>
        <w:rPr>
          <w:sz w:val="22"/>
        </w:rPr>
      </w:pPr>
    </w:p>
    <w:p w14:paraId="7D0D9345" w14:textId="77777777" w:rsidR="000F7C01" w:rsidRDefault="000F7C01">
      <w:pPr>
        <w:pStyle w:val="Heading2"/>
        <w:rPr>
          <w:sz w:val="22"/>
        </w:rPr>
      </w:pPr>
      <w:r>
        <w:rPr>
          <w:sz w:val="22"/>
        </w:rPr>
        <w:t>Section 7505: Powers of Arbitrator</w:t>
      </w:r>
    </w:p>
    <w:p w14:paraId="0CD7AEFD" w14:textId="77777777" w:rsidR="000F7C01" w:rsidRDefault="000F7C01">
      <w:pPr>
        <w:rPr>
          <w:sz w:val="22"/>
        </w:rPr>
      </w:pPr>
    </w:p>
    <w:p w14:paraId="4960C932" w14:textId="77777777" w:rsidR="000F7C01" w:rsidRDefault="000F7C01">
      <w:pPr>
        <w:pStyle w:val="BodyText"/>
        <w:rPr>
          <w:sz w:val="22"/>
        </w:rPr>
      </w:pPr>
      <w:r>
        <w:rPr>
          <w:sz w:val="22"/>
        </w:rPr>
        <w:t>An arbitrator and any attorney of record in the arbitration proceeding has the power to issue subpoenas.  An arbitrator has the power to administer oaths.</w:t>
      </w:r>
    </w:p>
    <w:p w14:paraId="2113603A" w14:textId="77777777" w:rsidR="000F7C01" w:rsidRDefault="000F7C01">
      <w:pPr>
        <w:rPr>
          <w:sz w:val="22"/>
        </w:rPr>
      </w:pPr>
    </w:p>
    <w:p w14:paraId="7F5F5B78" w14:textId="77777777" w:rsidR="000F7C01" w:rsidRDefault="000F7C01" w:rsidP="006E5046">
      <w:pPr>
        <w:jc w:val="center"/>
        <w:rPr>
          <w:sz w:val="22"/>
        </w:rPr>
      </w:pPr>
      <w:r>
        <w:rPr>
          <w:sz w:val="22"/>
        </w:rPr>
        <w:t>=======================</w:t>
      </w:r>
    </w:p>
    <w:p w14:paraId="084518F6" w14:textId="77777777" w:rsidR="000F7C01" w:rsidRDefault="000F7C01">
      <w:pPr>
        <w:rPr>
          <w:sz w:val="22"/>
        </w:rPr>
      </w:pPr>
    </w:p>
    <w:p w14:paraId="5DDB4D56" w14:textId="68823418" w:rsidR="000F7C01" w:rsidRPr="006E5046" w:rsidRDefault="000F7C01">
      <w:pPr>
        <w:jc w:val="center"/>
        <w:rPr>
          <w:b/>
          <w:sz w:val="28"/>
          <w:szCs w:val="28"/>
        </w:rPr>
      </w:pPr>
      <w:r>
        <w:rPr>
          <w:b/>
          <w:sz w:val="22"/>
        </w:rPr>
        <w:t xml:space="preserve">      </w:t>
      </w:r>
      <w:hyperlink r:id="rId8" w:history="1">
        <w:r w:rsidR="006E5046" w:rsidRPr="00284C37">
          <w:rPr>
            <w:rStyle w:val="Hyperlink"/>
            <w:b/>
            <w:sz w:val="28"/>
            <w:szCs w:val="28"/>
          </w:rPr>
          <w:t xml:space="preserve">COMMERCIAL ARBITRATION RULES OF THE </w:t>
        </w:r>
        <w:r w:rsidRPr="00284C37">
          <w:rPr>
            <w:rStyle w:val="Hyperlink"/>
            <w:b/>
            <w:sz w:val="28"/>
            <w:szCs w:val="28"/>
          </w:rPr>
          <w:t>AAA</w:t>
        </w:r>
      </w:hyperlink>
    </w:p>
    <w:p w14:paraId="4132D062" w14:textId="77777777" w:rsidR="000F7C01" w:rsidRDefault="000F7C01" w:rsidP="002C42D7">
      <w:pPr>
        <w:jc w:val="center"/>
        <w:rPr>
          <w:b/>
          <w:sz w:val="22"/>
        </w:rPr>
      </w:pPr>
    </w:p>
    <w:p w14:paraId="557107E8" w14:textId="09F5DE61" w:rsidR="000F7C01" w:rsidRDefault="000F7C01" w:rsidP="002C42D7">
      <w:pPr>
        <w:jc w:val="center"/>
        <w:rPr>
          <w:i/>
          <w:sz w:val="22"/>
        </w:rPr>
      </w:pPr>
      <w:r>
        <w:rPr>
          <w:i/>
          <w:sz w:val="22"/>
        </w:rPr>
        <w:t xml:space="preserve">Effective </w:t>
      </w:r>
      <w:r w:rsidR="00284C37">
        <w:rPr>
          <w:i/>
          <w:sz w:val="22"/>
        </w:rPr>
        <w:t>September 1, 2022</w:t>
      </w:r>
      <w:r w:rsidR="00D05C3B">
        <w:rPr>
          <w:i/>
          <w:sz w:val="22"/>
        </w:rPr>
        <w:t xml:space="preserve"> (changes summary </w:t>
      </w:r>
      <w:hyperlink r:id="rId9" w:history="1">
        <w:r w:rsidR="00D05C3B" w:rsidRPr="00D05C3B">
          <w:rPr>
            <w:rStyle w:val="Hyperlink"/>
            <w:i/>
            <w:sz w:val="22"/>
          </w:rPr>
          <w:t>here</w:t>
        </w:r>
      </w:hyperlink>
      <w:r w:rsidR="00D05C3B">
        <w:rPr>
          <w:i/>
          <w:sz w:val="22"/>
        </w:rPr>
        <w:t>)</w:t>
      </w:r>
    </w:p>
    <w:p w14:paraId="6C4933FC" w14:textId="77777777" w:rsidR="00637494" w:rsidRDefault="00637494" w:rsidP="002C42D7">
      <w:pPr>
        <w:jc w:val="center"/>
        <w:rPr>
          <w:i/>
          <w:sz w:val="22"/>
        </w:rPr>
      </w:pPr>
      <w:r>
        <w:rPr>
          <w:i/>
          <w:sz w:val="22"/>
        </w:rPr>
        <w:t>(sections have been reordered to better follow the flow of a case)</w:t>
      </w:r>
    </w:p>
    <w:p w14:paraId="4F5C292E" w14:textId="77777777" w:rsidR="006E5046" w:rsidRDefault="006E5046" w:rsidP="00637494">
      <w:pPr>
        <w:jc w:val="center"/>
        <w:rPr>
          <w:i/>
          <w:sz w:val="22"/>
        </w:rPr>
      </w:pPr>
    </w:p>
    <w:p w14:paraId="1DA4B370" w14:textId="77777777" w:rsidR="006E5046" w:rsidRPr="006E5046" w:rsidRDefault="006E5046" w:rsidP="00637494">
      <w:pPr>
        <w:jc w:val="center"/>
        <w:rPr>
          <w:b/>
          <w:sz w:val="26"/>
          <w:szCs w:val="26"/>
          <w:u w:val="single"/>
        </w:rPr>
      </w:pPr>
      <w:r w:rsidRPr="006E5046">
        <w:rPr>
          <w:b/>
          <w:sz w:val="26"/>
          <w:szCs w:val="26"/>
          <w:u w:val="single"/>
        </w:rPr>
        <w:t xml:space="preserve">Sections on Prehearing </w:t>
      </w:r>
      <w:r w:rsidR="005C341C">
        <w:rPr>
          <w:b/>
          <w:sz w:val="26"/>
          <w:szCs w:val="26"/>
          <w:u w:val="single"/>
        </w:rPr>
        <w:t>Exchanges</w:t>
      </w:r>
    </w:p>
    <w:p w14:paraId="29645881" w14:textId="49C55F4F" w:rsidR="00284C37" w:rsidRDefault="00284C37" w:rsidP="006E5046">
      <w:pPr>
        <w:pStyle w:val="NormalWeb"/>
        <w:rPr>
          <w:rFonts w:ascii="Arial" w:hAnsi="Arial" w:cs="Arial"/>
          <w:b/>
          <w:bCs/>
          <w:color w:val="000000"/>
          <w:sz w:val="22"/>
          <w:szCs w:val="22"/>
        </w:rPr>
      </w:pPr>
      <w:r>
        <w:rPr>
          <w:rFonts w:ascii="Arial" w:hAnsi="Arial" w:cs="Arial"/>
          <w:b/>
          <w:bCs/>
          <w:color w:val="000000"/>
          <w:sz w:val="22"/>
          <w:szCs w:val="22"/>
        </w:rPr>
        <w:t>R-8</w:t>
      </w:r>
      <w:r w:rsidR="00967D93">
        <w:rPr>
          <w:rFonts w:ascii="Arial" w:hAnsi="Arial" w:cs="Arial"/>
          <w:b/>
          <w:bCs/>
          <w:color w:val="000000"/>
          <w:sz w:val="22"/>
          <w:szCs w:val="22"/>
        </w:rPr>
        <w:t>:</w:t>
      </w:r>
      <w:r>
        <w:rPr>
          <w:rFonts w:ascii="Arial" w:hAnsi="Arial" w:cs="Arial"/>
          <w:b/>
          <w:bCs/>
          <w:color w:val="000000"/>
          <w:sz w:val="22"/>
          <w:szCs w:val="22"/>
        </w:rPr>
        <w:t xml:space="preserve"> Consolidation and Joinder</w:t>
      </w:r>
      <w:r w:rsidR="00967D93">
        <w:rPr>
          <w:rFonts w:ascii="Arial" w:hAnsi="Arial" w:cs="Arial"/>
          <w:b/>
          <w:bCs/>
          <w:color w:val="000000"/>
          <w:sz w:val="22"/>
          <w:szCs w:val="22"/>
        </w:rPr>
        <w:t xml:space="preserve"> (new)</w:t>
      </w:r>
    </w:p>
    <w:p w14:paraId="425AC067" w14:textId="209C0F15" w:rsidR="006E5046" w:rsidRPr="006E5046" w:rsidRDefault="006E5046" w:rsidP="006E5046">
      <w:pPr>
        <w:pStyle w:val="NormalWeb"/>
        <w:rPr>
          <w:rFonts w:ascii="Arial" w:hAnsi="Arial" w:cs="Arial"/>
          <w:color w:val="000000"/>
          <w:sz w:val="22"/>
          <w:szCs w:val="22"/>
        </w:rPr>
      </w:pPr>
      <w:r w:rsidRPr="006E5046">
        <w:rPr>
          <w:rFonts w:ascii="Arial" w:hAnsi="Arial" w:cs="Arial"/>
          <w:b/>
          <w:bCs/>
          <w:color w:val="000000"/>
          <w:sz w:val="22"/>
          <w:szCs w:val="22"/>
        </w:rPr>
        <w:t>R-2</w:t>
      </w:r>
      <w:r w:rsidR="00284C37">
        <w:rPr>
          <w:rFonts w:ascii="Arial" w:hAnsi="Arial" w:cs="Arial"/>
          <w:b/>
          <w:bCs/>
          <w:color w:val="000000"/>
          <w:sz w:val="22"/>
          <w:szCs w:val="22"/>
        </w:rPr>
        <w:t>2</w:t>
      </w:r>
      <w:r w:rsidR="00967D93">
        <w:rPr>
          <w:rFonts w:ascii="Arial" w:hAnsi="Arial" w:cs="Arial"/>
          <w:b/>
          <w:bCs/>
          <w:color w:val="000000"/>
          <w:sz w:val="22"/>
          <w:szCs w:val="22"/>
        </w:rPr>
        <w:t>:</w:t>
      </w:r>
      <w:r w:rsidRPr="006E5046">
        <w:rPr>
          <w:rFonts w:ascii="Arial" w:hAnsi="Arial" w:cs="Arial"/>
          <w:b/>
          <w:bCs/>
          <w:color w:val="000000"/>
          <w:sz w:val="22"/>
          <w:szCs w:val="22"/>
        </w:rPr>
        <w:t xml:space="preserve"> Preliminary Hearing</w:t>
      </w:r>
      <w:r w:rsidR="00D05C3B">
        <w:rPr>
          <w:rFonts w:ascii="Arial" w:hAnsi="Arial" w:cs="Arial"/>
          <w:b/>
          <w:bCs/>
          <w:color w:val="000000"/>
          <w:sz w:val="22"/>
          <w:szCs w:val="22"/>
        </w:rPr>
        <w:t xml:space="preserve"> (can be video)</w:t>
      </w:r>
    </w:p>
    <w:p w14:paraId="226852B5" w14:textId="519A0051" w:rsidR="006E5046" w:rsidRPr="006E5046" w:rsidRDefault="006E5046" w:rsidP="006E5046">
      <w:pPr>
        <w:pStyle w:val="NormalWeb"/>
        <w:rPr>
          <w:rFonts w:ascii="Arial" w:hAnsi="Arial" w:cs="Arial"/>
          <w:color w:val="000000"/>
          <w:sz w:val="22"/>
          <w:szCs w:val="22"/>
        </w:rPr>
      </w:pPr>
      <w:bookmarkStart w:id="0" w:name="P254_34780"/>
      <w:bookmarkEnd w:id="0"/>
      <w:r w:rsidRPr="006E5046">
        <w:rPr>
          <w:rFonts w:ascii="Arial" w:hAnsi="Arial" w:cs="Arial"/>
          <w:b/>
          <w:bCs/>
          <w:color w:val="000000"/>
          <w:sz w:val="22"/>
          <w:szCs w:val="22"/>
        </w:rPr>
        <w:t>R-2</w:t>
      </w:r>
      <w:r w:rsidR="00284C37">
        <w:rPr>
          <w:rFonts w:ascii="Arial" w:hAnsi="Arial" w:cs="Arial"/>
          <w:b/>
          <w:bCs/>
          <w:color w:val="000000"/>
          <w:sz w:val="22"/>
          <w:szCs w:val="22"/>
        </w:rPr>
        <w:t>3</w:t>
      </w:r>
      <w:r w:rsidR="00967D93">
        <w:rPr>
          <w:rFonts w:ascii="Arial" w:hAnsi="Arial" w:cs="Arial"/>
          <w:b/>
          <w:bCs/>
          <w:color w:val="000000"/>
          <w:sz w:val="22"/>
          <w:szCs w:val="22"/>
        </w:rPr>
        <w:t>:</w:t>
      </w:r>
      <w:r w:rsidRPr="006E5046">
        <w:rPr>
          <w:rFonts w:ascii="Arial" w:hAnsi="Arial" w:cs="Arial"/>
          <w:b/>
          <w:bCs/>
          <w:color w:val="000000"/>
          <w:sz w:val="22"/>
          <w:szCs w:val="22"/>
        </w:rPr>
        <w:t xml:space="preserve"> Pre-Hearing Exchange and Production of Information</w:t>
      </w:r>
    </w:p>
    <w:p w14:paraId="26397DA4" w14:textId="6F8E49BF" w:rsidR="006E5046" w:rsidRPr="006E5046" w:rsidRDefault="006E5046" w:rsidP="006E5046">
      <w:pPr>
        <w:pStyle w:val="NormalWeb"/>
        <w:rPr>
          <w:rFonts w:ascii="Arial" w:hAnsi="Arial" w:cs="Arial"/>
          <w:color w:val="000000"/>
          <w:sz w:val="22"/>
          <w:szCs w:val="22"/>
        </w:rPr>
      </w:pPr>
      <w:bookmarkStart w:id="1" w:name="P261_36524"/>
      <w:bookmarkEnd w:id="1"/>
      <w:r w:rsidRPr="006E5046">
        <w:rPr>
          <w:rFonts w:ascii="Arial" w:hAnsi="Arial" w:cs="Arial"/>
          <w:b/>
          <w:bCs/>
          <w:color w:val="000000"/>
          <w:sz w:val="22"/>
          <w:szCs w:val="22"/>
        </w:rPr>
        <w:t>R-2</w:t>
      </w:r>
      <w:r w:rsidR="00284C37">
        <w:rPr>
          <w:rFonts w:ascii="Arial" w:hAnsi="Arial" w:cs="Arial"/>
          <w:b/>
          <w:bCs/>
          <w:color w:val="000000"/>
          <w:sz w:val="22"/>
          <w:szCs w:val="22"/>
        </w:rPr>
        <w:t>4</w:t>
      </w:r>
      <w:r w:rsidR="00967D93">
        <w:rPr>
          <w:rFonts w:ascii="Arial" w:hAnsi="Arial" w:cs="Arial"/>
          <w:b/>
          <w:bCs/>
          <w:color w:val="000000"/>
          <w:sz w:val="22"/>
          <w:szCs w:val="22"/>
        </w:rPr>
        <w:t>:</w:t>
      </w:r>
      <w:r w:rsidRPr="006E5046">
        <w:rPr>
          <w:rFonts w:ascii="Arial" w:hAnsi="Arial" w:cs="Arial"/>
          <w:b/>
          <w:bCs/>
          <w:color w:val="000000"/>
          <w:sz w:val="22"/>
          <w:szCs w:val="22"/>
        </w:rPr>
        <w:t xml:space="preserve"> Enforcement Powers of the Arbitrator</w:t>
      </w:r>
    </w:p>
    <w:p w14:paraId="454C680D" w14:textId="40CEC2B9" w:rsidR="005C341C" w:rsidRPr="00A4544A" w:rsidRDefault="005C341C" w:rsidP="005C341C">
      <w:pPr>
        <w:pStyle w:val="NormalWeb"/>
        <w:rPr>
          <w:rFonts w:ascii="Arial" w:hAnsi="Arial" w:cs="Arial"/>
          <w:color w:val="000000"/>
          <w:sz w:val="22"/>
          <w:szCs w:val="22"/>
        </w:rPr>
      </w:pPr>
      <w:r w:rsidRPr="00A4544A">
        <w:rPr>
          <w:rFonts w:ascii="Arial" w:hAnsi="Arial" w:cs="Arial"/>
          <w:b/>
          <w:bCs/>
          <w:color w:val="000000"/>
          <w:sz w:val="22"/>
          <w:szCs w:val="22"/>
        </w:rPr>
        <w:t>R-3</w:t>
      </w:r>
      <w:r w:rsidR="00284C37">
        <w:rPr>
          <w:rFonts w:ascii="Arial" w:hAnsi="Arial" w:cs="Arial"/>
          <w:b/>
          <w:bCs/>
          <w:color w:val="000000"/>
          <w:sz w:val="22"/>
          <w:szCs w:val="22"/>
        </w:rPr>
        <w:t>9</w:t>
      </w:r>
      <w:r w:rsidR="00967D93">
        <w:rPr>
          <w:rFonts w:ascii="Arial" w:hAnsi="Arial" w:cs="Arial"/>
          <w:b/>
          <w:bCs/>
          <w:color w:val="000000"/>
          <w:sz w:val="22"/>
          <w:szCs w:val="22"/>
        </w:rPr>
        <w:t>:</w:t>
      </w:r>
      <w:r w:rsidRPr="00A4544A">
        <w:rPr>
          <w:rFonts w:ascii="Arial" w:hAnsi="Arial" w:cs="Arial"/>
          <w:b/>
          <w:bCs/>
          <w:color w:val="000000"/>
          <w:sz w:val="22"/>
          <w:szCs w:val="22"/>
        </w:rPr>
        <w:t xml:space="preserve"> Emergency Measures of Protection</w:t>
      </w:r>
    </w:p>
    <w:p w14:paraId="566D38BA" w14:textId="43E0BA86" w:rsidR="005C341C" w:rsidRPr="005C341C" w:rsidRDefault="005C341C" w:rsidP="005C341C">
      <w:pPr>
        <w:pStyle w:val="NormalWeb"/>
        <w:rPr>
          <w:rFonts w:ascii="Arial" w:hAnsi="Arial" w:cs="Arial"/>
          <w:color w:val="000000"/>
          <w:sz w:val="22"/>
          <w:szCs w:val="22"/>
        </w:rPr>
      </w:pPr>
      <w:r w:rsidRPr="005C341C">
        <w:rPr>
          <w:rFonts w:ascii="Arial" w:hAnsi="Arial" w:cs="Arial"/>
          <w:b/>
          <w:bCs/>
          <w:color w:val="000000"/>
          <w:sz w:val="22"/>
          <w:szCs w:val="22"/>
        </w:rPr>
        <w:t>R-</w:t>
      </w:r>
      <w:r w:rsidR="00284C37">
        <w:rPr>
          <w:rFonts w:ascii="Arial" w:hAnsi="Arial" w:cs="Arial"/>
          <w:b/>
          <w:bCs/>
          <w:color w:val="000000"/>
          <w:sz w:val="22"/>
          <w:szCs w:val="22"/>
        </w:rPr>
        <w:t>60</w:t>
      </w:r>
      <w:r w:rsidR="00967D93">
        <w:rPr>
          <w:rFonts w:ascii="Arial" w:hAnsi="Arial" w:cs="Arial"/>
          <w:b/>
          <w:bCs/>
          <w:color w:val="000000"/>
          <w:sz w:val="22"/>
          <w:szCs w:val="22"/>
        </w:rPr>
        <w:t>:</w:t>
      </w:r>
      <w:r w:rsidRPr="005C341C">
        <w:rPr>
          <w:rFonts w:ascii="Arial" w:hAnsi="Arial" w:cs="Arial"/>
          <w:b/>
          <w:bCs/>
          <w:color w:val="000000"/>
          <w:sz w:val="22"/>
          <w:szCs w:val="22"/>
        </w:rPr>
        <w:t xml:space="preserve"> Sanctions</w:t>
      </w:r>
    </w:p>
    <w:p w14:paraId="4A3A5D88" w14:textId="066E5828" w:rsidR="006E5046" w:rsidRPr="006E5046" w:rsidRDefault="006E5046" w:rsidP="00284C37">
      <w:pPr>
        <w:pStyle w:val="NormalWeb"/>
        <w:rPr>
          <w:b/>
          <w:sz w:val="22"/>
          <w:u w:val="single"/>
        </w:rPr>
      </w:pPr>
    </w:p>
    <w:p w14:paraId="3C230D9D" w14:textId="77777777" w:rsidR="006E5046" w:rsidRPr="006E5046" w:rsidRDefault="006E5046" w:rsidP="006E5046">
      <w:pPr>
        <w:jc w:val="center"/>
        <w:rPr>
          <w:b/>
          <w:sz w:val="26"/>
          <w:szCs w:val="26"/>
          <w:u w:val="single"/>
        </w:rPr>
      </w:pPr>
      <w:bookmarkStart w:id="2" w:name="_Toc360865288"/>
      <w:r w:rsidRPr="006E5046">
        <w:rPr>
          <w:b/>
          <w:sz w:val="26"/>
          <w:szCs w:val="26"/>
          <w:u w:val="single"/>
        </w:rPr>
        <w:t xml:space="preserve">Sections on </w:t>
      </w:r>
      <w:r>
        <w:rPr>
          <w:b/>
          <w:sz w:val="26"/>
          <w:szCs w:val="26"/>
          <w:u w:val="single"/>
        </w:rPr>
        <w:t>Hearings</w:t>
      </w:r>
    </w:p>
    <w:p w14:paraId="27CE0665" w14:textId="085B130C" w:rsidR="000F7C01" w:rsidRDefault="000F7C01">
      <w:pPr>
        <w:pStyle w:val="Heading1"/>
        <w:rPr>
          <w:sz w:val="22"/>
        </w:rPr>
      </w:pPr>
      <w:r>
        <w:rPr>
          <w:sz w:val="22"/>
        </w:rPr>
        <w:t>R-2</w:t>
      </w:r>
      <w:r w:rsidR="00CF450D">
        <w:rPr>
          <w:sz w:val="22"/>
        </w:rPr>
        <w:t>5</w:t>
      </w:r>
      <w:r w:rsidR="00240FF9">
        <w:rPr>
          <w:sz w:val="22"/>
        </w:rPr>
        <w:t>:</w:t>
      </w:r>
      <w:r>
        <w:rPr>
          <w:sz w:val="22"/>
        </w:rPr>
        <w:t xml:space="preserve"> Date, Time, and Place of Hearing</w:t>
      </w:r>
      <w:bookmarkEnd w:id="2"/>
      <w:r w:rsidR="00CF450D">
        <w:rPr>
          <w:sz w:val="22"/>
        </w:rPr>
        <w:t xml:space="preserve"> (can be electronic)</w:t>
      </w:r>
    </w:p>
    <w:p w14:paraId="1B894842" w14:textId="77777777" w:rsidR="000F7C01" w:rsidRDefault="000F7C01">
      <w:pPr>
        <w:pStyle w:val="Heading1"/>
        <w:rPr>
          <w:sz w:val="22"/>
        </w:rPr>
      </w:pPr>
      <w:bookmarkStart w:id="3" w:name="_Toc360865289"/>
      <w:r>
        <w:rPr>
          <w:sz w:val="22"/>
        </w:rPr>
        <w:t>R-2</w:t>
      </w:r>
      <w:r w:rsidR="00E64CFE">
        <w:rPr>
          <w:sz w:val="22"/>
        </w:rPr>
        <w:t>6</w:t>
      </w:r>
      <w:r w:rsidR="00240FF9">
        <w:rPr>
          <w:sz w:val="22"/>
        </w:rPr>
        <w:t>:</w:t>
      </w:r>
      <w:r>
        <w:rPr>
          <w:sz w:val="22"/>
        </w:rPr>
        <w:t xml:space="preserve"> Representation</w:t>
      </w:r>
      <w:bookmarkEnd w:id="3"/>
    </w:p>
    <w:p w14:paraId="5C14A292" w14:textId="2FFAD2EE" w:rsidR="000F7C01" w:rsidRDefault="00C97A5D">
      <w:pPr>
        <w:pStyle w:val="Heading1"/>
        <w:rPr>
          <w:sz w:val="22"/>
        </w:rPr>
      </w:pPr>
      <w:bookmarkStart w:id="4" w:name="_Toc360865290"/>
      <w:r>
        <w:rPr>
          <w:sz w:val="22"/>
        </w:rPr>
        <w:t>R</w:t>
      </w:r>
      <w:r w:rsidR="000F7C01">
        <w:rPr>
          <w:sz w:val="22"/>
        </w:rPr>
        <w:t>-2</w:t>
      </w:r>
      <w:r>
        <w:rPr>
          <w:sz w:val="22"/>
        </w:rPr>
        <w:t>9</w:t>
      </w:r>
      <w:r w:rsidR="00240FF9">
        <w:rPr>
          <w:sz w:val="22"/>
        </w:rPr>
        <w:t>:</w:t>
      </w:r>
      <w:r w:rsidR="000F7C01">
        <w:rPr>
          <w:sz w:val="22"/>
        </w:rPr>
        <w:t xml:space="preserve"> Stenographic Record</w:t>
      </w:r>
      <w:bookmarkEnd w:id="4"/>
    </w:p>
    <w:p w14:paraId="638B3453" w14:textId="77777777" w:rsidR="00252750" w:rsidRDefault="00252750" w:rsidP="00CC1D1C">
      <w:pPr>
        <w:rPr>
          <w:sz w:val="22"/>
          <w:szCs w:val="22"/>
        </w:rPr>
      </w:pPr>
    </w:p>
    <w:p w14:paraId="6E632F0A" w14:textId="034736E4" w:rsidR="00CC1D1C" w:rsidRDefault="00CC1D1C" w:rsidP="00CC1D1C">
      <w:pPr>
        <w:rPr>
          <w:rFonts w:ascii="Arial" w:hAnsi="Arial" w:cs="Arial"/>
          <w:b/>
          <w:sz w:val="22"/>
          <w:szCs w:val="22"/>
        </w:rPr>
      </w:pPr>
      <w:r w:rsidRPr="00CC1D1C">
        <w:rPr>
          <w:rFonts w:ascii="Arial" w:hAnsi="Arial" w:cs="Arial"/>
          <w:b/>
          <w:sz w:val="22"/>
          <w:szCs w:val="22"/>
        </w:rPr>
        <w:t>R-2</w:t>
      </w:r>
      <w:r w:rsidR="00C97A5D">
        <w:rPr>
          <w:rFonts w:ascii="Arial" w:hAnsi="Arial" w:cs="Arial"/>
          <w:b/>
          <w:sz w:val="22"/>
          <w:szCs w:val="22"/>
        </w:rPr>
        <w:t>6:</w:t>
      </w:r>
      <w:r w:rsidRPr="00CC1D1C">
        <w:rPr>
          <w:rFonts w:ascii="Arial" w:hAnsi="Arial" w:cs="Arial"/>
          <w:b/>
          <w:sz w:val="22"/>
          <w:szCs w:val="22"/>
        </w:rPr>
        <w:t xml:space="preserve"> Attendance at Hearings</w:t>
      </w:r>
    </w:p>
    <w:p w14:paraId="7891F479" w14:textId="1297119A" w:rsidR="000F7C01" w:rsidRDefault="000F7C01">
      <w:pPr>
        <w:pStyle w:val="Heading1"/>
        <w:rPr>
          <w:sz w:val="22"/>
        </w:rPr>
      </w:pPr>
      <w:bookmarkStart w:id="5" w:name="_Toc360865293"/>
      <w:r>
        <w:rPr>
          <w:sz w:val="22"/>
        </w:rPr>
        <w:t>R-</w:t>
      </w:r>
      <w:r w:rsidR="00297417">
        <w:rPr>
          <w:sz w:val="22"/>
        </w:rPr>
        <w:t>3</w:t>
      </w:r>
      <w:r w:rsidR="0093091B">
        <w:rPr>
          <w:sz w:val="22"/>
        </w:rPr>
        <w:t>1</w:t>
      </w:r>
      <w:r w:rsidR="00240FF9">
        <w:rPr>
          <w:sz w:val="22"/>
        </w:rPr>
        <w:t>:</w:t>
      </w:r>
      <w:r>
        <w:rPr>
          <w:sz w:val="22"/>
        </w:rPr>
        <w:t xml:space="preserve"> Postponements</w:t>
      </w:r>
      <w:bookmarkEnd w:id="5"/>
    </w:p>
    <w:p w14:paraId="144B7829" w14:textId="20761C6C" w:rsidR="00297417" w:rsidRDefault="00297417" w:rsidP="00297417">
      <w:pPr>
        <w:pStyle w:val="Heading1"/>
        <w:rPr>
          <w:sz w:val="22"/>
        </w:rPr>
      </w:pPr>
      <w:bookmarkStart w:id="6" w:name="_Toc360865294"/>
      <w:r>
        <w:rPr>
          <w:sz w:val="22"/>
        </w:rPr>
        <w:t>R-3</w:t>
      </w:r>
      <w:r w:rsidR="0093091B">
        <w:rPr>
          <w:sz w:val="22"/>
        </w:rPr>
        <w:t>2</w:t>
      </w:r>
      <w:r>
        <w:rPr>
          <w:sz w:val="22"/>
        </w:rPr>
        <w:t>: Arbitration in the Absence of a Party or Representative</w:t>
      </w:r>
    </w:p>
    <w:p w14:paraId="6C9A75A5" w14:textId="0A76FD27" w:rsidR="000F7C01" w:rsidRDefault="0093091B">
      <w:pPr>
        <w:pStyle w:val="Heading1"/>
        <w:rPr>
          <w:sz w:val="22"/>
        </w:rPr>
      </w:pPr>
      <w:r>
        <w:rPr>
          <w:sz w:val="22"/>
        </w:rPr>
        <w:t>R-</w:t>
      </w:r>
      <w:r w:rsidR="000F7C01">
        <w:rPr>
          <w:sz w:val="22"/>
        </w:rPr>
        <w:t>2</w:t>
      </w:r>
      <w:r>
        <w:rPr>
          <w:sz w:val="22"/>
        </w:rPr>
        <w:t>8</w:t>
      </w:r>
      <w:r w:rsidR="00240FF9">
        <w:rPr>
          <w:sz w:val="22"/>
        </w:rPr>
        <w:t>:</w:t>
      </w:r>
      <w:r w:rsidR="000F7C01">
        <w:rPr>
          <w:sz w:val="22"/>
        </w:rPr>
        <w:t xml:space="preserve"> Oaths</w:t>
      </w:r>
      <w:bookmarkEnd w:id="6"/>
    </w:p>
    <w:p w14:paraId="4393FD45" w14:textId="77777777" w:rsidR="0071308F" w:rsidRDefault="0071308F" w:rsidP="0071308F">
      <w:pPr>
        <w:rPr>
          <w:rFonts w:ascii="Arial" w:hAnsi="Arial" w:cs="Arial"/>
          <w:b/>
          <w:bCs/>
          <w:sz w:val="22"/>
          <w:szCs w:val="22"/>
        </w:rPr>
      </w:pPr>
    </w:p>
    <w:p w14:paraId="11DA71CD" w14:textId="3821B85D" w:rsidR="0071308F" w:rsidRDefault="0071308F" w:rsidP="0071308F">
      <w:pPr>
        <w:rPr>
          <w:rFonts w:ascii="Arial" w:hAnsi="Arial" w:cs="Arial"/>
          <w:b/>
          <w:bCs/>
          <w:sz w:val="22"/>
          <w:szCs w:val="22"/>
        </w:rPr>
      </w:pPr>
      <w:r w:rsidRPr="0071308F">
        <w:rPr>
          <w:rFonts w:ascii="Arial" w:hAnsi="Arial" w:cs="Arial"/>
          <w:b/>
          <w:bCs/>
          <w:sz w:val="22"/>
          <w:szCs w:val="22"/>
        </w:rPr>
        <w:t>R-45. Confidentiality</w:t>
      </w:r>
      <w:r>
        <w:rPr>
          <w:rFonts w:ascii="Arial" w:hAnsi="Arial" w:cs="Arial"/>
          <w:b/>
          <w:bCs/>
          <w:sz w:val="22"/>
          <w:szCs w:val="22"/>
        </w:rPr>
        <w:t xml:space="preserve"> (new)</w:t>
      </w:r>
    </w:p>
    <w:p w14:paraId="00AAA96C" w14:textId="4924EDFF" w:rsidR="00967D93" w:rsidRPr="00967D93" w:rsidRDefault="00967D93" w:rsidP="00967D93">
      <w:pPr>
        <w:pStyle w:val="ListParagraph"/>
        <w:numPr>
          <w:ilvl w:val="0"/>
          <w:numId w:val="6"/>
        </w:numPr>
        <w:rPr>
          <w:sz w:val="22"/>
          <w:szCs w:val="22"/>
        </w:rPr>
      </w:pPr>
      <w:r w:rsidRPr="00967D93">
        <w:rPr>
          <w:sz w:val="22"/>
          <w:szCs w:val="22"/>
        </w:rPr>
        <w:t>Codifies AAA and arbitrators’ obligation to maintain confidentiality</w:t>
      </w:r>
    </w:p>
    <w:p w14:paraId="4B323BAE" w14:textId="77777777" w:rsidR="0093091B" w:rsidRDefault="0093091B">
      <w:pPr>
        <w:rPr>
          <w:rFonts w:ascii="Arial" w:hAnsi="Arial"/>
          <w:b/>
          <w:sz w:val="22"/>
        </w:rPr>
      </w:pPr>
    </w:p>
    <w:p w14:paraId="31CB4A8B" w14:textId="657FA376" w:rsidR="000F7C01" w:rsidRDefault="000F7C01">
      <w:pPr>
        <w:rPr>
          <w:rFonts w:ascii="Arial" w:hAnsi="Arial"/>
          <w:b/>
          <w:sz w:val="22"/>
        </w:rPr>
      </w:pPr>
      <w:r>
        <w:rPr>
          <w:rFonts w:ascii="Arial" w:hAnsi="Arial"/>
          <w:b/>
          <w:sz w:val="22"/>
        </w:rPr>
        <w:t>R-</w:t>
      </w:r>
      <w:r w:rsidR="00E61BC6">
        <w:rPr>
          <w:rFonts w:ascii="Arial" w:hAnsi="Arial"/>
          <w:b/>
          <w:sz w:val="22"/>
        </w:rPr>
        <w:t>3</w:t>
      </w:r>
      <w:r w:rsidR="0093091B">
        <w:rPr>
          <w:rFonts w:ascii="Arial" w:hAnsi="Arial"/>
          <w:b/>
          <w:sz w:val="22"/>
        </w:rPr>
        <w:t>3</w:t>
      </w:r>
      <w:r w:rsidR="00240FF9">
        <w:rPr>
          <w:rFonts w:ascii="Arial" w:hAnsi="Arial"/>
          <w:b/>
          <w:sz w:val="22"/>
        </w:rPr>
        <w:t>:</w:t>
      </w:r>
      <w:r>
        <w:rPr>
          <w:rFonts w:ascii="Arial" w:hAnsi="Arial"/>
          <w:b/>
          <w:sz w:val="22"/>
        </w:rPr>
        <w:t xml:space="preserve"> Conduct of Proceedings</w:t>
      </w:r>
    </w:p>
    <w:p w14:paraId="407C807A" w14:textId="77777777" w:rsidR="0093091B" w:rsidRDefault="0093091B">
      <w:pPr>
        <w:rPr>
          <w:sz w:val="22"/>
        </w:rPr>
      </w:pPr>
    </w:p>
    <w:p w14:paraId="4B8AC19F" w14:textId="0E7D802A" w:rsidR="00297417" w:rsidRPr="00297417" w:rsidRDefault="0093091B" w:rsidP="002A4636">
      <w:pPr>
        <w:pBdr>
          <w:top w:val="single" w:sz="4" w:space="1" w:color="auto"/>
          <w:left w:val="single" w:sz="4" w:space="4" w:color="auto"/>
          <w:bottom w:val="single" w:sz="4" w:space="1" w:color="auto"/>
          <w:right w:val="single" w:sz="4" w:space="4" w:color="auto"/>
        </w:pBdr>
        <w:rPr>
          <w:color w:val="000000"/>
          <w:sz w:val="22"/>
          <w:szCs w:val="22"/>
        </w:rPr>
      </w:pPr>
      <w:r w:rsidRPr="0071308F">
        <w:rPr>
          <w:sz w:val="22"/>
          <w:szCs w:val="22"/>
          <w:u w:val="single"/>
        </w:rPr>
        <w:t>See also new Rule R-2(c):</w:t>
      </w:r>
      <w:r w:rsidRPr="0093091B">
        <w:rPr>
          <w:sz w:val="22"/>
          <w:szCs w:val="22"/>
        </w:rPr>
        <w:t xml:space="preserve"> The AAA requires that parties and their representatives conduct themselves in accordance with the AAA’s </w:t>
      </w:r>
      <w:r w:rsidRPr="0093091B">
        <w:rPr>
          <w:i/>
          <w:iCs/>
          <w:sz w:val="22"/>
          <w:szCs w:val="22"/>
        </w:rPr>
        <w:t>Standards of Conduct for Parties and Representatives</w:t>
      </w:r>
      <w:r w:rsidRPr="0093091B">
        <w:rPr>
          <w:sz w:val="22"/>
          <w:szCs w:val="22"/>
        </w:rPr>
        <w:t xml:space="preserve"> when utilizing the AAA’s services. Failure to do so may result in the AAA’s declining to further administer a particular case or caseload.</w:t>
      </w:r>
    </w:p>
    <w:p w14:paraId="0676C8AD" w14:textId="77777777" w:rsidR="0060512D" w:rsidRDefault="0060512D" w:rsidP="00472A7A">
      <w:pPr>
        <w:pStyle w:val="NormalWeb"/>
        <w:rPr>
          <w:rFonts w:ascii="Arial" w:hAnsi="Arial" w:cs="Arial"/>
          <w:b/>
          <w:bCs/>
          <w:color w:val="000000"/>
          <w:sz w:val="22"/>
          <w:szCs w:val="22"/>
        </w:rPr>
      </w:pPr>
    </w:p>
    <w:p w14:paraId="2532BCF7" w14:textId="7455464C" w:rsidR="00472A7A" w:rsidRPr="00472A7A" w:rsidRDefault="00472A7A" w:rsidP="00472A7A">
      <w:pPr>
        <w:pStyle w:val="NormalWeb"/>
        <w:rPr>
          <w:rFonts w:ascii="Arial" w:hAnsi="Arial" w:cs="Arial"/>
          <w:color w:val="000000"/>
          <w:sz w:val="22"/>
          <w:szCs w:val="22"/>
        </w:rPr>
      </w:pPr>
      <w:r w:rsidRPr="00472A7A">
        <w:rPr>
          <w:rFonts w:ascii="Arial" w:hAnsi="Arial" w:cs="Arial"/>
          <w:b/>
          <w:bCs/>
          <w:color w:val="000000"/>
          <w:sz w:val="22"/>
          <w:szCs w:val="22"/>
        </w:rPr>
        <w:t>R-3</w:t>
      </w:r>
      <w:r w:rsidR="0071308F">
        <w:rPr>
          <w:rFonts w:ascii="Arial" w:hAnsi="Arial" w:cs="Arial"/>
          <w:b/>
          <w:bCs/>
          <w:color w:val="000000"/>
          <w:sz w:val="22"/>
          <w:szCs w:val="22"/>
        </w:rPr>
        <w:t>6:</w:t>
      </w:r>
      <w:r w:rsidRPr="00472A7A">
        <w:rPr>
          <w:rFonts w:ascii="Arial" w:hAnsi="Arial" w:cs="Arial"/>
          <w:b/>
          <w:bCs/>
          <w:color w:val="000000"/>
          <w:sz w:val="22"/>
          <w:szCs w:val="22"/>
        </w:rPr>
        <w:t xml:space="preserve"> Evidence by Written Statements and Post-Hearing Filing of Documents or Other Evidence</w:t>
      </w:r>
    </w:p>
    <w:p w14:paraId="48368F44" w14:textId="55BB0C69" w:rsidR="000F7C01" w:rsidRDefault="000F7C01">
      <w:pPr>
        <w:pStyle w:val="Heading1"/>
        <w:rPr>
          <w:sz w:val="22"/>
        </w:rPr>
      </w:pPr>
      <w:bookmarkStart w:id="7" w:name="_Toc360865302"/>
      <w:r>
        <w:rPr>
          <w:sz w:val="22"/>
        </w:rPr>
        <w:t>R-</w:t>
      </w:r>
      <w:r w:rsidR="0071308F">
        <w:rPr>
          <w:sz w:val="22"/>
        </w:rPr>
        <w:t>40</w:t>
      </w:r>
      <w:r w:rsidR="00240FF9">
        <w:rPr>
          <w:sz w:val="22"/>
        </w:rPr>
        <w:t>:</w:t>
      </w:r>
      <w:r>
        <w:rPr>
          <w:sz w:val="22"/>
        </w:rPr>
        <w:t xml:space="preserve"> Closing of Hearing</w:t>
      </w:r>
      <w:bookmarkEnd w:id="7"/>
    </w:p>
    <w:p w14:paraId="716F9FF0" w14:textId="271FCFE3" w:rsidR="000F7C01" w:rsidRPr="001858EF" w:rsidRDefault="000F7C01">
      <w:pPr>
        <w:pStyle w:val="Heading1"/>
        <w:rPr>
          <w:sz w:val="22"/>
          <w:szCs w:val="22"/>
        </w:rPr>
      </w:pPr>
      <w:bookmarkStart w:id="8" w:name="_Toc360865305"/>
      <w:r w:rsidRPr="001858EF">
        <w:rPr>
          <w:sz w:val="22"/>
          <w:szCs w:val="22"/>
        </w:rPr>
        <w:t>R-</w:t>
      </w:r>
      <w:r w:rsidR="001858EF">
        <w:rPr>
          <w:sz w:val="22"/>
          <w:szCs w:val="22"/>
        </w:rPr>
        <w:t>4</w:t>
      </w:r>
      <w:r w:rsidR="0071308F">
        <w:rPr>
          <w:sz w:val="22"/>
          <w:szCs w:val="22"/>
        </w:rPr>
        <w:t>2</w:t>
      </w:r>
      <w:r w:rsidR="00240FF9" w:rsidRPr="001858EF">
        <w:rPr>
          <w:sz w:val="22"/>
          <w:szCs w:val="22"/>
        </w:rPr>
        <w:t>:</w:t>
      </w:r>
      <w:r w:rsidRPr="001858EF">
        <w:rPr>
          <w:sz w:val="22"/>
          <w:szCs w:val="22"/>
        </w:rPr>
        <w:t xml:space="preserve"> Waiver of Rules</w:t>
      </w:r>
      <w:bookmarkEnd w:id="8"/>
    </w:p>
    <w:p w14:paraId="6257BD3C" w14:textId="77777777" w:rsidR="000F7C01" w:rsidRDefault="000F7C01">
      <w:pPr>
        <w:rPr>
          <w:sz w:val="22"/>
        </w:rPr>
      </w:pPr>
    </w:p>
    <w:p w14:paraId="07885127" w14:textId="1A38314E" w:rsidR="000F7C01" w:rsidRDefault="0060512D">
      <w:pPr>
        <w:rPr>
          <w:sz w:val="24"/>
        </w:rPr>
      </w:pPr>
      <w:r>
        <w:rPr>
          <w:sz w:val="24"/>
        </w:rPr>
        <w:t xml:space="preserve">[Hearings </w:t>
      </w:r>
      <w:r w:rsidR="00284C37">
        <w:rPr>
          <w:sz w:val="24"/>
        </w:rPr>
        <w:t>Study Aids (</w:t>
      </w:r>
      <w:r>
        <w:rPr>
          <w:sz w:val="24"/>
        </w:rPr>
        <w:t>2023)</w:t>
      </w:r>
    </w:p>
    <w:p w14:paraId="4E05A9AC" w14:textId="77777777" w:rsidR="00284C37" w:rsidRDefault="00284C37">
      <w:pPr>
        <w:rPr>
          <w:sz w:val="24"/>
        </w:rPr>
      </w:pPr>
    </w:p>
    <w:sectPr w:rsidR="00284C37">
      <w:footerReference w:type="even" r:id="rId10"/>
      <w:footerReference w:type="default" r:id="rId11"/>
      <w:endnotePr>
        <w:numFmt w:val="decimal"/>
      </w:endnotePr>
      <w:pgSz w:w="12240" w:h="15840"/>
      <w:pgMar w:top="1008" w:right="1440" w:bottom="100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F7DC" w14:textId="77777777" w:rsidR="0045376D" w:rsidRDefault="0045376D">
      <w:r>
        <w:separator/>
      </w:r>
    </w:p>
  </w:endnote>
  <w:endnote w:type="continuationSeparator" w:id="0">
    <w:p w14:paraId="6FE7CDE3" w14:textId="77777777" w:rsidR="0045376D" w:rsidRDefault="0045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4638" w14:textId="77777777" w:rsidR="00E61BC6" w:rsidRDefault="00E61BC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25E">
      <w:rPr>
        <w:rStyle w:val="PageNumber"/>
        <w:noProof/>
      </w:rPr>
      <w:t>4</w:t>
    </w:r>
    <w:r>
      <w:rPr>
        <w:rStyle w:val="PageNumber"/>
      </w:rPr>
      <w:fldChar w:fldCharType="end"/>
    </w:r>
  </w:p>
  <w:p w14:paraId="068DCECE" w14:textId="77777777" w:rsidR="00E61BC6" w:rsidRDefault="00E61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6A21" w14:textId="77777777" w:rsidR="00E61BC6" w:rsidRDefault="00E61BC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25E">
      <w:rPr>
        <w:rStyle w:val="PageNumber"/>
        <w:noProof/>
      </w:rPr>
      <w:t>5</w:t>
    </w:r>
    <w:r>
      <w:rPr>
        <w:rStyle w:val="PageNumber"/>
      </w:rPr>
      <w:fldChar w:fldCharType="end"/>
    </w:r>
  </w:p>
  <w:p w14:paraId="26327817" w14:textId="77777777" w:rsidR="00E61BC6" w:rsidRDefault="00E61B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64CD" w14:textId="77777777" w:rsidR="0045376D" w:rsidRDefault="0045376D">
      <w:r>
        <w:separator/>
      </w:r>
    </w:p>
  </w:footnote>
  <w:footnote w:type="continuationSeparator" w:id="0">
    <w:p w14:paraId="76BD1D73" w14:textId="77777777" w:rsidR="0045376D" w:rsidRDefault="0045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2D74"/>
    <w:multiLevelType w:val="singleLevel"/>
    <w:tmpl w:val="2B6AE9BC"/>
    <w:lvl w:ilvl="0">
      <w:start w:val="1"/>
      <w:numFmt w:val="lowerLetter"/>
      <w:lvlText w:val="%1)"/>
      <w:legacy w:legacy="1" w:legacySpace="0" w:legacyIndent="360"/>
      <w:lvlJc w:val="left"/>
      <w:pPr>
        <w:ind w:left="360" w:hanging="360"/>
      </w:pPr>
    </w:lvl>
  </w:abstractNum>
  <w:abstractNum w:abstractNumId="1" w15:restartNumberingAfterBreak="0">
    <w:nsid w:val="21225EA0"/>
    <w:multiLevelType w:val="hybridMultilevel"/>
    <w:tmpl w:val="E89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0828"/>
    <w:multiLevelType w:val="singleLevel"/>
    <w:tmpl w:val="2B6AE9BC"/>
    <w:lvl w:ilvl="0">
      <w:start w:val="1"/>
      <w:numFmt w:val="lowerLetter"/>
      <w:lvlText w:val="%1)"/>
      <w:legacy w:legacy="1" w:legacySpace="0" w:legacyIndent="360"/>
      <w:lvlJc w:val="left"/>
      <w:pPr>
        <w:ind w:left="360" w:hanging="360"/>
      </w:pPr>
    </w:lvl>
  </w:abstractNum>
  <w:abstractNum w:abstractNumId="3" w15:restartNumberingAfterBreak="0">
    <w:nsid w:val="38A427D2"/>
    <w:multiLevelType w:val="hybridMultilevel"/>
    <w:tmpl w:val="0E961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05AC5"/>
    <w:multiLevelType w:val="singleLevel"/>
    <w:tmpl w:val="2B6AE9BC"/>
    <w:lvl w:ilvl="0">
      <w:start w:val="1"/>
      <w:numFmt w:val="lowerLetter"/>
      <w:lvlText w:val="%1)"/>
      <w:legacy w:legacy="1" w:legacySpace="0" w:legacyIndent="360"/>
      <w:lvlJc w:val="left"/>
      <w:pPr>
        <w:ind w:left="360" w:hanging="360"/>
      </w:pPr>
    </w:lvl>
  </w:abstractNum>
  <w:abstractNum w:abstractNumId="5" w15:restartNumberingAfterBreak="0">
    <w:nsid w:val="676C6D84"/>
    <w:multiLevelType w:val="hybridMultilevel"/>
    <w:tmpl w:val="3ED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374046">
    <w:abstractNumId w:val="2"/>
  </w:num>
  <w:num w:numId="2" w16cid:durableId="1172598240">
    <w:abstractNumId w:val="4"/>
  </w:num>
  <w:num w:numId="3" w16cid:durableId="1802264992">
    <w:abstractNumId w:val="0"/>
  </w:num>
  <w:num w:numId="4" w16cid:durableId="162546497">
    <w:abstractNumId w:val="3"/>
  </w:num>
  <w:num w:numId="5" w16cid:durableId="861631639">
    <w:abstractNumId w:val="1"/>
  </w:num>
  <w:num w:numId="6" w16cid:durableId="2104956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9"/>
    <w:rsid w:val="00002A7E"/>
    <w:rsid w:val="000F7C01"/>
    <w:rsid w:val="001858EF"/>
    <w:rsid w:val="001D1209"/>
    <w:rsid w:val="002150A2"/>
    <w:rsid w:val="00240FF9"/>
    <w:rsid w:val="00252750"/>
    <w:rsid w:val="00284C37"/>
    <w:rsid w:val="00297417"/>
    <w:rsid w:val="002A4636"/>
    <w:rsid w:val="002C42D7"/>
    <w:rsid w:val="0045376D"/>
    <w:rsid w:val="00472A7A"/>
    <w:rsid w:val="004B51E8"/>
    <w:rsid w:val="004F3A06"/>
    <w:rsid w:val="00523C48"/>
    <w:rsid w:val="00581CA7"/>
    <w:rsid w:val="005C341C"/>
    <w:rsid w:val="0060512D"/>
    <w:rsid w:val="00621711"/>
    <w:rsid w:val="00637494"/>
    <w:rsid w:val="00693B46"/>
    <w:rsid w:val="006A7FE9"/>
    <w:rsid w:val="006C7F66"/>
    <w:rsid w:val="006E5046"/>
    <w:rsid w:val="007012D6"/>
    <w:rsid w:val="0071308F"/>
    <w:rsid w:val="008D53ED"/>
    <w:rsid w:val="008E2B05"/>
    <w:rsid w:val="0093091B"/>
    <w:rsid w:val="00967D93"/>
    <w:rsid w:val="009972BC"/>
    <w:rsid w:val="009F0BC7"/>
    <w:rsid w:val="00A4544A"/>
    <w:rsid w:val="00C405B4"/>
    <w:rsid w:val="00C66AC6"/>
    <w:rsid w:val="00C97A5D"/>
    <w:rsid w:val="00CC1D1C"/>
    <w:rsid w:val="00CF450D"/>
    <w:rsid w:val="00D05C3B"/>
    <w:rsid w:val="00E44ADF"/>
    <w:rsid w:val="00E61BC6"/>
    <w:rsid w:val="00E64CFE"/>
    <w:rsid w:val="00F8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2B0D6"/>
  <w15:chartTrackingRefBased/>
  <w15:docId w15:val="{60933BE5-1687-468F-A0EE-F8BB63D0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BodyText">
    <w:name w:val="Body Text"/>
    <w:basedOn w:val="Normal"/>
    <w:rPr>
      <w:sz w:val="24"/>
    </w:rPr>
  </w:style>
  <w:style w:type="paragraph" w:styleId="BalloonText">
    <w:name w:val="Balloon Text"/>
    <w:basedOn w:val="Normal"/>
    <w:semiHidden/>
    <w:rsid w:val="00240FF9"/>
    <w:rPr>
      <w:rFonts w:ascii="Tahoma" w:hAnsi="Tahoma" w:cs="Tahoma"/>
      <w:sz w:val="16"/>
      <w:szCs w:val="16"/>
    </w:rPr>
  </w:style>
  <w:style w:type="paragraph" w:styleId="NormalWeb">
    <w:name w:val="Normal (Web)"/>
    <w:basedOn w:val="Normal"/>
    <w:uiPriority w:val="99"/>
    <w:unhideWhenUsed/>
    <w:rsid w:val="00E64CFE"/>
    <w:pPr>
      <w:widowControl/>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rsid w:val="00284C37"/>
    <w:rPr>
      <w:color w:val="0563C1" w:themeColor="hyperlink"/>
      <w:u w:val="single"/>
    </w:rPr>
  </w:style>
  <w:style w:type="character" w:styleId="UnresolvedMention">
    <w:name w:val="Unresolved Mention"/>
    <w:basedOn w:val="DefaultParagraphFont"/>
    <w:uiPriority w:val="99"/>
    <w:semiHidden/>
    <w:unhideWhenUsed/>
    <w:rsid w:val="00284C37"/>
    <w:rPr>
      <w:color w:val="605E5C"/>
      <w:shd w:val="clear" w:color="auto" w:fill="E1DFDD"/>
    </w:rPr>
  </w:style>
  <w:style w:type="paragraph" w:styleId="ListParagraph">
    <w:name w:val="List Paragraph"/>
    <w:basedOn w:val="Normal"/>
    <w:uiPriority w:val="34"/>
    <w:qFormat/>
    <w:rsid w:val="0096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333">
      <w:bodyDiv w:val="1"/>
      <w:marLeft w:val="0"/>
      <w:marRight w:val="0"/>
      <w:marTop w:val="0"/>
      <w:marBottom w:val="0"/>
      <w:divBdr>
        <w:top w:val="none" w:sz="0" w:space="0" w:color="auto"/>
        <w:left w:val="none" w:sz="0" w:space="0" w:color="auto"/>
        <w:bottom w:val="none" w:sz="0" w:space="0" w:color="auto"/>
        <w:right w:val="none" w:sz="0" w:space="0" w:color="auto"/>
      </w:divBdr>
    </w:div>
    <w:div w:id="462499759">
      <w:bodyDiv w:val="1"/>
      <w:marLeft w:val="0"/>
      <w:marRight w:val="0"/>
      <w:marTop w:val="0"/>
      <w:marBottom w:val="0"/>
      <w:divBdr>
        <w:top w:val="none" w:sz="0" w:space="0" w:color="auto"/>
        <w:left w:val="none" w:sz="0" w:space="0" w:color="auto"/>
        <w:bottom w:val="none" w:sz="0" w:space="0" w:color="auto"/>
        <w:right w:val="none" w:sz="0" w:space="0" w:color="auto"/>
      </w:divBdr>
    </w:div>
    <w:div w:id="613823620">
      <w:bodyDiv w:val="1"/>
      <w:marLeft w:val="0"/>
      <w:marRight w:val="0"/>
      <w:marTop w:val="0"/>
      <w:marBottom w:val="0"/>
      <w:divBdr>
        <w:top w:val="none" w:sz="0" w:space="0" w:color="auto"/>
        <w:left w:val="none" w:sz="0" w:space="0" w:color="auto"/>
        <w:bottom w:val="none" w:sz="0" w:space="0" w:color="auto"/>
        <w:right w:val="none" w:sz="0" w:space="0" w:color="auto"/>
      </w:divBdr>
    </w:div>
    <w:div w:id="700127586">
      <w:bodyDiv w:val="1"/>
      <w:marLeft w:val="0"/>
      <w:marRight w:val="0"/>
      <w:marTop w:val="0"/>
      <w:marBottom w:val="0"/>
      <w:divBdr>
        <w:top w:val="none" w:sz="0" w:space="0" w:color="auto"/>
        <w:left w:val="none" w:sz="0" w:space="0" w:color="auto"/>
        <w:bottom w:val="none" w:sz="0" w:space="0" w:color="auto"/>
        <w:right w:val="none" w:sz="0" w:space="0" w:color="auto"/>
      </w:divBdr>
    </w:div>
    <w:div w:id="1441802551">
      <w:bodyDiv w:val="1"/>
      <w:marLeft w:val="0"/>
      <w:marRight w:val="0"/>
      <w:marTop w:val="0"/>
      <w:marBottom w:val="0"/>
      <w:divBdr>
        <w:top w:val="none" w:sz="0" w:space="0" w:color="auto"/>
        <w:left w:val="none" w:sz="0" w:space="0" w:color="auto"/>
        <w:bottom w:val="none" w:sz="0" w:space="0" w:color="auto"/>
        <w:right w:val="none" w:sz="0" w:space="0" w:color="auto"/>
      </w:divBdr>
    </w:div>
    <w:div w:id="1552812632">
      <w:bodyDiv w:val="1"/>
      <w:marLeft w:val="0"/>
      <w:marRight w:val="0"/>
      <w:marTop w:val="0"/>
      <w:marBottom w:val="0"/>
      <w:divBdr>
        <w:top w:val="none" w:sz="0" w:space="0" w:color="auto"/>
        <w:left w:val="none" w:sz="0" w:space="0" w:color="auto"/>
        <w:bottom w:val="none" w:sz="0" w:space="0" w:color="auto"/>
        <w:right w:val="none" w:sz="0" w:space="0" w:color="auto"/>
      </w:divBdr>
    </w:div>
    <w:div w:id="1692536920">
      <w:bodyDiv w:val="1"/>
      <w:marLeft w:val="0"/>
      <w:marRight w:val="0"/>
      <w:marTop w:val="0"/>
      <w:marBottom w:val="0"/>
      <w:divBdr>
        <w:top w:val="none" w:sz="0" w:space="0" w:color="auto"/>
        <w:left w:val="none" w:sz="0" w:space="0" w:color="auto"/>
        <w:bottom w:val="none" w:sz="0" w:space="0" w:color="auto"/>
        <w:right w:val="none" w:sz="0" w:space="0" w:color="auto"/>
      </w:divBdr>
    </w:div>
    <w:div w:id="1731148416">
      <w:bodyDiv w:val="1"/>
      <w:marLeft w:val="0"/>
      <w:marRight w:val="0"/>
      <w:marTop w:val="0"/>
      <w:marBottom w:val="0"/>
      <w:divBdr>
        <w:top w:val="none" w:sz="0" w:space="0" w:color="auto"/>
        <w:left w:val="none" w:sz="0" w:space="0" w:color="auto"/>
        <w:bottom w:val="none" w:sz="0" w:space="0" w:color="auto"/>
        <w:right w:val="none" w:sz="0" w:space="0" w:color="auto"/>
      </w:divBdr>
    </w:div>
    <w:div w:id="1750811339">
      <w:bodyDiv w:val="1"/>
      <w:marLeft w:val="0"/>
      <w:marRight w:val="0"/>
      <w:marTop w:val="0"/>
      <w:marBottom w:val="0"/>
      <w:divBdr>
        <w:top w:val="none" w:sz="0" w:space="0" w:color="auto"/>
        <w:left w:val="none" w:sz="0" w:space="0" w:color="auto"/>
        <w:bottom w:val="none" w:sz="0" w:space="0" w:color="auto"/>
        <w:right w:val="none" w:sz="0" w:space="0" w:color="auto"/>
      </w:divBdr>
    </w:div>
    <w:div w:id="2039425156">
      <w:bodyDiv w:val="1"/>
      <w:marLeft w:val="0"/>
      <w:marRight w:val="0"/>
      <w:marTop w:val="0"/>
      <w:marBottom w:val="0"/>
      <w:divBdr>
        <w:top w:val="none" w:sz="0" w:space="0" w:color="auto"/>
        <w:left w:val="none" w:sz="0" w:space="0" w:color="auto"/>
        <w:bottom w:val="none" w:sz="0" w:space="0" w:color="auto"/>
        <w:right w:val="none" w:sz="0" w:space="0" w:color="auto"/>
      </w:divBdr>
    </w:div>
    <w:div w:id="21196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org/sites/default/files/Commercial_Rules_We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r.org/sites/default/files/document_repository/AAA409_CommRules_Significant_Amendments_Sep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05A9-53AD-48EB-B248-0F762EA7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C:\LAW\LEC\NEWYORK.ASC</vt:lpstr>
    </vt:vector>
  </TitlesOfParts>
  <Company>AAA</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C:\LAW\LEC\NEWYORK.ASC</dc:title>
  <dc:subject/>
  <dc:creator>EMPLOYEE</dc:creator>
  <cp:keywords/>
  <dc:description/>
  <cp:lastModifiedBy>George Friedman</cp:lastModifiedBy>
  <cp:revision>10</cp:revision>
  <cp:lastPrinted>2013-11-29T17:19:00Z</cp:lastPrinted>
  <dcterms:created xsi:type="dcterms:W3CDTF">2022-11-09T14:48:00Z</dcterms:created>
  <dcterms:modified xsi:type="dcterms:W3CDTF">2022-11-13T21:40:00Z</dcterms:modified>
</cp:coreProperties>
</file>